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AA17E" w14:textId="6ABC2014" w:rsidR="000E6631" w:rsidRPr="00B2749D" w:rsidRDefault="00B2749D" w:rsidP="0090524D">
      <w:pPr>
        <w:jc w:val="center"/>
        <w:rPr>
          <w:rFonts w:ascii="Arial" w:hAnsi="Arial" w:cs="Arial"/>
          <w:b/>
          <w:sz w:val="28"/>
          <w:szCs w:val="24"/>
        </w:rPr>
      </w:pPr>
      <w:r w:rsidRPr="00B2749D">
        <w:rPr>
          <w:rFonts w:ascii="Arial" w:hAnsi="Arial" w:cs="Arial"/>
          <w:b/>
          <w:sz w:val="28"/>
          <w:szCs w:val="24"/>
        </w:rPr>
        <w:t xml:space="preserve">Pharmacy Technician Person Specification </w:t>
      </w:r>
    </w:p>
    <w:p w14:paraId="223830F2" w14:textId="77777777" w:rsidR="00E347C9" w:rsidRDefault="00E347C9" w:rsidP="0090524D">
      <w:pPr>
        <w:jc w:val="center"/>
        <w:rPr>
          <w:rFonts w:ascii="Arial" w:hAnsi="Arial" w:cs="Arial"/>
          <w:b/>
          <w:sz w:val="24"/>
          <w:szCs w:val="24"/>
          <w:u w:val="single"/>
        </w:rPr>
      </w:pPr>
    </w:p>
    <w:tbl>
      <w:tblPr>
        <w:tblStyle w:val="TableGrid"/>
        <w:tblW w:w="10490" w:type="dxa"/>
        <w:tblInd w:w="-714" w:type="dxa"/>
        <w:tblLook w:val="04A0" w:firstRow="1" w:lastRow="0" w:firstColumn="1" w:lastColumn="0" w:noHBand="0" w:noVBand="1"/>
      </w:tblPr>
      <w:tblGrid>
        <w:gridCol w:w="1879"/>
        <w:gridCol w:w="3529"/>
        <w:gridCol w:w="3530"/>
        <w:gridCol w:w="1552"/>
      </w:tblGrid>
      <w:tr w:rsidR="00E347C9" w:rsidRPr="00E347C9" w14:paraId="15F9DD68" w14:textId="77777777" w:rsidTr="00E347C9">
        <w:tc>
          <w:tcPr>
            <w:tcW w:w="1879" w:type="dxa"/>
          </w:tcPr>
          <w:p w14:paraId="2FC68DBD" w14:textId="77777777" w:rsidR="00E347C9" w:rsidRPr="00E347C9" w:rsidRDefault="00E347C9" w:rsidP="00E347C9">
            <w:pPr>
              <w:jc w:val="center"/>
              <w:rPr>
                <w:rFonts w:ascii="Arial" w:hAnsi="Arial" w:cs="Arial"/>
                <w:b/>
              </w:rPr>
            </w:pPr>
          </w:p>
        </w:tc>
        <w:tc>
          <w:tcPr>
            <w:tcW w:w="3693" w:type="dxa"/>
          </w:tcPr>
          <w:p w14:paraId="6F385623" w14:textId="77777777" w:rsidR="00E347C9" w:rsidRPr="00E347C9" w:rsidRDefault="00E347C9" w:rsidP="00E347C9">
            <w:pPr>
              <w:jc w:val="center"/>
              <w:rPr>
                <w:rFonts w:ascii="Arial" w:hAnsi="Arial" w:cs="Arial"/>
                <w:b/>
              </w:rPr>
            </w:pPr>
            <w:r w:rsidRPr="00E347C9">
              <w:rPr>
                <w:rFonts w:ascii="Arial" w:hAnsi="Arial" w:cs="Arial"/>
                <w:b/>
              </w:rPr>
              <w:t>Essential</w:t>
            </w:r>
          </w:p>
        </w:tc>
        <w:tc>
          <w:tcPr>
            <w:tcW w:w="3359" w:type="dxa"/>
          </w:tcPr>
          <w:p w14:paraId="5F4D6BAF" w14:textId="77777777" w:rsidR="00E347C9" w:rsidRPr="00E347C9" w:rsidRDefault="00E347C9" w:rsidP="00E347C9">
            <w:pPr>
              <w:jc w:val="center"/>
              <w:rPr>
                <w:rFonts w:ascii="Arial" w:hAnsi="Arial" w:cs="Arial"/>
                <w:b/>
              </w:rPr>
            </w:pPr>
            <w:r w:rsidRPr="00E347C9">
              <w:rPr>
                <w:rFonts w:ascii="Arial" w:hAnsi="Arial" w:cs="Arial"/>
                <w:b/>
              </w:rPr>
              <w:t>Desirable</w:t>
            </w:r>
          </w:p>
        </w:tc>
        <w:tc>
          <w:tcPr>
            <w:tcW w:w="1559" w:type="dxa"/>
            <w:vAlign w:val="center"/>
          </w:tcPr>
          <w:p w14:paraId="3828F2DD" w14:textId="7956F3C4" w:rsidR="00E347C9" w:rsidRPr="00E347C9" w:rsidRDefault="00E347C9" w:rsidP="00E347C9">
            <w:pPr>
              <w:jc w:val="center"/>
              <w:rPr>
                <w:rFonts w:ascii="Arial" w:hAnsi="Arial" w:cs="Arial"/>
                <w:b/>
              </w:rPr>
            </w:pPr>
            <w:r w:rsidRPr="00E347C9">
              <w:rPr>
                <w:rFonts w:ascii="Arial" w:hAnsi="Arial" w:cs="Arial"/>
                <w:b/>
                <w:bCs/>
              </w:rPr>
              <w:t>Assessment</w:t>
            </w:r>
          </w:p>
        </w:tc>
      </w:tr>
      <w:tr w:rsidR="00E347C9" w:rsidRPr="00E347C9" w14:paraId="0978D3A5" w14:textId="77777777" w:rsidTr="00E347C9">
        <w:tc>
          <w:tcPr>
            <w:tcW w:w="1879" w:type="dxa"/>
          </w:tcPr>
          <w:p w14:paraId="2DAF9F72" w14:textId="03B44625" w:rsidR="00E347C9" w:rsidRPr="00E347C9" w:rsidRDefault="00E347C9" w:rsidP="00E347C9">
            <w:pPr>
              <w:rPr>
                <w:rFonts w:ascii="Arial" w:hAnsi="Arial" w:cs="Arial"/>
                <w:b/>
              </w:rPr>
            </w:pPr>
            <w:r w:rsidRPr="00E347C9">
              <w:rPr>
                <w:rFonts w:ascii="Arial" w:hAnsi="Arial" w:cs="Arial"/>
                <w:b/>
                <w:bCs/>
              </w:rPr>
              <w:t>Qualifications and registration</w:t>
            </w:r>
          </w:p>
        </w:tc>
        <w:tc>
          <w:tcPr>
            <w:tcW w:w="3693" w:type="dxa"/>
          </w:tcPr>
          <w:p w14:paraId="0742B6E6" w14:textId="77777777" w:rsidR="00E347C9" w:rsidRPr="00E347C9" w:rsidRDefault="00E347C9" w:rsidP="00E347C9">
            <w:pPr>
              <w:rPr>
                <w:rFonts w:ascii="Arial" w:hAnsi="Arial" w:cs="Arial"/>
              </w:rPr>
            </w:pPr>
            <w:r w:rsidRPr="00E347C9">
              <w:rPr>
                <w:rFonts w:ascii="Arial" w:hAnsi="Arial" w:cs="Arial"/>
              </w:rPr>
              <w:t xml:space="preserve">Registered Pharmacy Technician with the </w:t>
            </w:r>
            <w:r w:rsidRPr="00E347C9">
              <w:rPr>
                <w:rFonts w:ascii="Arial" w:hAnsi="Arial" w:cs="Arial"/>
                <w:b/>
                <w:bCs/>
              </w:rPr>
              <w:t>General Pharmaceutical Council (GPhC)</w:t>
            </w:r>
            <w:r w:rsidRPr="00E347C9">
              <w:rPr>
                <w:rFonts w:ascii="Arial" w:hAnsi="Arial" w:cs="Arial"/>
              </w:rPr>
              <w:t xml:space="preserve"> for England, Scotland and Wales posts. </w:t>
            </w:r>
          </w:p>
          <w:p w14:paraId="46E61FE9" w14:textId="77777777" w:rsidR="00E347C9" w:rsidRPr="00E347C9" w:rsidRDefault="00E347C9" w:rsidP="00E347C9">
            <w:pPr>
              <w:rPr>
                <w:rFonts w:ascii="Arial" w:hAnsi="Arial" w:cs="Arial"/>
              </w:rPr>
            </w:pPr>
            <w:r w:rsidRPr="00E347C9">
              <w:rPr>
                <w:rFonts w:ascii="Arial" w:hAnsi="Arial" w:cs="Arial"/>
              </w:rPr>
              <w:t>Meets GPhC qualification and training requirements for pharmacy technician registration.</w:t>
            </w:r>
          </w:p>
          <w:p w14:paraId="41EF5F8F" w14:textId="77777777" w:rsidR="00E347C9" w:rsidRPr="00E347C9" w:rsidRDefault="00E347C9" w:rsidP="00E347C9">
            <w:pPr>
              <w:rPr>
                <w:rFonts w:ascii="Arial" w:hAnsi="Arial" w:cs="Arial"/>
              </w:rPr>
            </w:pPr>
            <w:r w:rsidRPr="00E347C9">
              <w:rPr>
                <w:rFonts w:ascii="Arial" w:hAnsi="Arial" w:cs="Arial"/>
              </w:rPr>
              <w:t xml:space="preserve">Holds recognised pharmacy technician qualification, for example NVQ/BTEC Level 3 or equivalent in pharmacy services/pharmaceutical sciences. </w:t>
            </w:r>
          </w:p>
          <w:p w14:paraId="6943BB53" w14:textId="77777777" w:rsidR="00E347C9" w:rsidRPr="00E347C9" w:rsidRDefault="00E347C9" w:rsidP="00E347C9">
            <w:pPr>
              <w:rPr>
                <w:rFonts w:ascii="Arial" w:hAnsi="Arial" w:cs="Arial"/>
              </w:rPr>
            </w:pPr>
            <w:r w:rsidRPr="00E347C9">
              <w:rPr>
                <w:rFonts w:ascii="Arial" w:hAnsi="Arial" w:cs="Arial"/>
              </w:rPr>
              <w:t xml:space="preserve">For England PCN/ARRS roles: enrolled in, undertaking or completed an approved pathway such as PCPEP, MOCH, or APTUK-approved equivalent. </w:t>
            </w:r>
          </w:p>
          <w:p w14:paraId="4584A8E3" w14:textId="1731B6EF" w:rsidR="00E347C9" w:rsidRPr="00E347C9" w:rsidRDefault="00E347C9" w:rsidP="00E347C9">
            <w:pPr>
              <w:rPr>
                <w:rFonts w:ascii="Arial" w:hAnsi="Arial" w:cs="Arial"/>
              </w:rPr>
            </w:pPr>
            <w:r w:rsidRPr="00E347C9">
              <w:rPr>
                <w:rFonts w:ascii="Arial" w:hAnsi="Arial" w:cs="Arial"/>
              </w:rPr>
              <w:t>Evidence of continuing professional development and commitment to revalidation.</w:t>
            </w:r>
          </w:p>
        </w:tc>
        <w:tc>
          <w:tcPr>
            <w:tcW w:w="3359" w:type="dxa"/>
            <w:vAlign w:val="center"/>
          </w:tcPr>
          <w:p w14:paraId="22B97062" w14:textId="77777777" w:rsidR="00E347C9" w:rsidRDefault="00E347C9" w:rsidP="00E347C9">
            <w:pPr>
              <w:rPr>
                <w:rFonts w:ascii="Arial" w:hAnsi="Arial" w:cs="Arial"/>
              </w:rPr>
            </w:pPr>
            <w:r w:rsidRPr="00E347C9">
              <w:rPr>
                <w:rFonts w:ascii="Arial" w:hAnsi="Arial" w:cs="Arial"/>
              </w:rPr>
              <w:t xml:space="preserve">Accuracy Checking Pharmacy Technician qualification. </w:t>
            </w:r>
          </w:p>
          <w:p w14:paraId="35A0EF61" w14:textId="4C346AF9" w:rsidR="00E347C9" w:rsidRPr="00E347C9" w:rsidRDefault="00E347C9" w:rsidP="00E347C9">
            <w:pPr>
              <w:rPr>
                <w:rFonts w:ascii="Arial" w:hAnsi="Arial" w:cs="Arial"/>
              </w:rPr>
            </w:pPr>
            <w:r w:rsidRPr="00E347C9">
              <w:rPr>
                <w:rFonts w:ascii="Arial" w:hAnsi="Arial" w:cs="Arial"/>
              </w:rPr>
              <w:t xml:space="preserve">Completed PCPEP, MOCH, or equivalent primary care pathway. </w:t>
            </w:r>
          </w:p>
          <w:p w14:paraId="4DBBCA93" w14:textId="7A0C3B9E" w:rsidR="00E347C9" w:rsidRPr="00E347C9" w:rsidRDefault="00E347C9" w:rsidP="00E347C9">
            <w:pPr>
              <w:rPr>
                <w:rFonts w:ascii="Arial" w:hAnsi="Arial" w:cs="Arial"/>
              </w:rPr>
            </w:pPr>
            <w:r w:rsidRPr="00E347C9">
              <w:rPr>
                <w:rFonts w:ascii="Arial" w:hAnsi="Arial" w:cs="Arial"/>
              </w:rPr>
              <w:t>Additional training in medicines reconciliation, consultation skills, long-term conditions, care homes, high-risk medicines, antimicrobial stewardship or PGDs/PSDs where locally required.</w:t>
            </w:r>
          </w:p>
        </w:tc>
        <w:tc>
          <w:tcPr>
            <w:tcW w:w="1559" w:type="dxa"/>
          </w:tcPr>
          <w:p w14:paraId="38575586" w14:textId="02D228CD" w:rsidR="00E347C9" w:rsidRPr="00E347C9" w:rsidRDefault="00E347C9" w:rsidP="00E347C9">
            <w:pPr>
              <w:ind w:right="-530"/>
              <w:rPr>
                <w:rFonts w:ascii="Arial" w:hAnsi="Arial" w:cs="Arial"/>
              </w:rPr>
            </w:pPr>
            <w:r w:rsidRPr="00E347C9">
              <w:rPr>
                <w:rFonts w:ascii="Arial" w:hAnsi="Arial" w:cs="Arial"/>
              </w:rPr>
              <w:t>A, C, I</w:t>
            </w:r>
          </w:p>
        </w:tc>
      </w:tr>
      <w:tr w:rsidR="00E347C9" w:rsidRPr="00E347C9" w14:paraId="7EC9A4BA" w14:textId="77777777" w:rsidTr="00E347C9">
        <w:tc>
          <w:tcPr>
            <w:tcW w:w="1879" w:type="dxa"/>
          </w:tcPr>
          <w:p w14:paraId="7B5C0BDF" w14:textId="77777777" w:rsidR="00E347C9" w:rsidRPr="00E347C9" w:rsidRDefault="00E347C9" w:rsidP="00E347C9">
            <w:pPr>
              <w:rPr>
                <w:rFonts w:ascii="Arial" w:hAnsi="Arial" w:cs="Arial"/>
                <w:b/>
              </w:rPr>
            </w:pPr>
            <w:r w:rsidRPr="00E347C9">
              <w:rPr>
                <w:rFonts w:ascii="Arial" w:hAnsi="Arial" w:cs="Arial"/>
                <w:b/>
              </w:rPr>
              <w:t>Experience</w:t>
            </w:r>
          </w:p>
        </w:tc>
        <w:tc>
          <w:tcPr>
            <w:tcW w:w="3693" w:type="dxa"/>
          </w:tcPr>
          <w:p w14:paraId="725F5BB2" w14:textId="77777777" w:rsidR="00E347C9" w:rsidRPr="00E347C9" w:rsidRDefault="00E347C9" w:rsidP="00E347C9">
            <w:pPr>
              <w:rPr>
                <w:rFonts w:ascii="Arial" w:hAnsi="Arial" w:cs="Arial"/>
              </w:rPr>
            </w:pPr>
            <w:r w:rsidRPr="00E347C9">
              <w:rPr>
                <w:rFonts w:ascii="Arial" w:hAnsi="Arial" w:cs="Arial"/>
              </w:rPr>
              <w:t xml:space="preserve">Experience working as a qualified pharmacy technician in community pharmacy, hospital pharmacy, primary care, care homes or another relevant medicines-related setting. </w:t>
            </w:r>
          </w:p>
          <w:p w14:paraId="71A082AD" w14:textId="77777777" w:rsidR="00E347C9" w:rsidRPr="00E347C9" w:rsidRDefault="00E347C9" w:rsidP="00E347C9">
            <w:pPr>
              <w:rPr>
                <w:rFonts w:ascii="Arial" w:hAnsi="Arial" w:cs="Arial"/>
              </w:rPr>
            </w:pPr>
            <w:r w:rsidRPr="00E347C9">
              <w:rPr>
                <w:rFonts w:ascii="Arial" w:hAnsi="Arial" w:cs="Arial"/>
              </w:rPr>
              <w:t xml:space="preserve">Experience working under clinical supervision and within standard operating procedures. </w:t>
            </w:r>
          </w:p>
          <w:p w14:paraId="70C6390E" w14:textId="77777777" w:rsidR="00E347C9" w:rsidRPr="00E347C9" w:rsidRDefault="00E347C9" w:rsidP="00E347C9">
            <w:pPr>
              <w:rPr>
                <w:rFonts w:ascii="Arial" w:hAnsi="Arial" w:cs="Arial"/>
              </w:rPr>
            </w:pPr>
            <w:r w:rsidRPr="00E347C9">
              <w:rPr>
                <w:rFonts w:ascii="Arial" w:hAnsi="Arial" w:cs="Arial"/>
              </w:rPr>
              <w:t xml:space="preserve">Experience supporting safe, effective and efficient use of medicines. </w:t>
            </w:r>
          </w:p>
          <w:p w14:paraId="15406D4A" w14:textId="35C20F00" w:rsidR="00E347C9" w:rsidRPr="00E347C9" w:rsidRDefault="00E347C9" w:rsidP="00E347C9">
            <w:pPr>
              <w:rPr>
                <w:rFonts w:ascii="Arial" w:hAnsi="Arial" w:cs="Arial"/>
              </w:rPr>
            </w:pPr>
            <w:r w:rsidRPr="00E347C9">
              <w:rPr>
                <w:rFonts w:ascii="Arial" w:hAnsi="Arial" w:cs="Arial"/>
              </w:rPr>
              <w:t>Experience dealing with patients, carers and healthcare professionals in person, by telephone or digitally.</w:t>
            </w:r>
          </w:p>
        </w:tc>
        <w:tc>
          <w:tcPr>
            <w:tcW w:w="3359" w:type="dxa"/>
          </w:tcPr>
          <w:p w14:paraId="09EB88D2" w14:textId="77777777" w:rsidR="00E347C9" w:rsidRDefault="00E347C9" w:rsidP="00E347C9">
            <w:pPr>
              <w:rPr>
                <w:rFonts w:ascii="Arial" w:hAnsi="Arial" w:cs="Arial"/>
              </w:rPr>
            </w:pPr>
            <w:r w:rsidRPr="00E347C9">
              <w:rPr>
                <w:rFonts w:ascii="Arial" w:hAnsi="Arial" w:cs="Arial"/>
              </w:rPr>
              <w:t xml:space="preserve">Experience in a GP practice, PCN, medicines optimisation team, care home service or interface role. </w:t>
            </w:r>
          </w:p>
          <w:p w14:paraId="63AD6C59" w14:textId="11F89EAA" w:rsidR="00E347C9" w:rsidRPr="00E347C9" w:rsidRDefault="00E347C9" w:rsidP="00E347C9">
            <w:pPr>
              <w:rPr>
                <w:rFonts w:ascii="Arial" w:hAnsi="Arial" w:cs="Arial"/>
              </w:rPr>
            </w:pPr>
            <w:r w:rsidRPr="00E347C9">
              <w:rPr>
                <w:rFonts w:ascii="Arial" w:hAnsi="Arial" w:cs="Arial"/>
              </w:rPr>
              <w:t>Experience with repeat prescribing, electronic repeat dispensing, medicines reconciliation after hospital discharge, prescribing audits, QOF/enhanced services or medicines safety searches. Experience using GP clinical systems such as, SystmOne, Vision or local equivalents.</w:t>
            </w:r>
          </w:p>
        </w:tc>
        <w:tc>
          <w:tcPr>
            <w:tcW w:w="1559" w:type="dxa"/>
          </w:tcPr>
          <w:p w14:paraId="39F81EFD" w14:textId="2DC1035E" w:rsidR="00E347C9" w:rsidRPr="00E347C9" w:rsidRDefault="00E347C9" w:rsidP="00E347C9">
            <w:pPr>
              <w:rPr>
                <w:rFonts w:ascii="Arial" w:hAnsi="Arial" w:cs="Arial"/>
              </w:rPr>
            </w:pPr>
            <w:r w:rsidRPr="00E347C9">
              <w:rPr>
                <w:rFonts w:ascii="Arial" w:hAnsi="Arial" w:cs="Arial"/>
              </w:rPr>
              <w:t>A, I, R</w:t>
            </w:r>
          </w:p>
        </w:tc>
      </w:tr>
      <w:tr w:rsidR="00E347C9" w:rsidRPr="00E347C9" w14:paraId="7945ABE6" w14:textId="77777777" w:rsidTr="00E347C9">
        <w:tc>
          <w:tcPr>
            <w:tcW w:w="1879" w:type="dxa"/>
          </w:tcPr>
          <w:p w14:paraId="18C16517" w14:textId="5FB35059" w:rsidR="00E347C9" w:rsidRPr="00E347C9" w:rsidRDefault="00E347C9" w:rsidP="00E347C9">
            <w:pPr>
              <w:rPr>
                <w:rFonts w:ascii="Arial" w:hAnsi="Arial" w:cs="Arial"/>
                <w:b/>
              </w:rPr>
            </w:pPr>
            <w:r w:rsidRPr="00E347C9">
              <w:rPr>
                <w:rFonts w:ascii="Arial" w:hAnsi="Arial" w:cs="Arial"/>
                <w:b/>
                <w:bCs/>
              </w:rPr>
              <w:t>Knowledge and understanding</w:t>
            </w:r>
          </w:p>
        </w:tc>
        <w:tc>
          <w:tcPr>
            <w:tcW w:w="3693" w:type="dxa"/>
          </w:tcPr>
          <w:p w14:paraId="0CFC6053" w14:textId="11858B22" w:rsidR="00E347C9" w:rsidRPr="00E347C9" w:rsidRDefault="00E347C9" w:rsidP="00E347C9">
            <w:pPr>
              <w:rPr>
                <w:rFonts w:ascii="Arial" w:hAnsi="Arial" w:cs="Arial"/>
              </w:rPr>
            </w:pPr>
            <w:r w:rsidRPr="00E347C9">
              <w:rPr>
                <w:rFonts w:ascii="Arial" w:hAnsi="Arial" w:cs="Arial"/>
              </w:rPr>
              <w:t xml:space="preserve">Understanding of medicines optimisation, repeat prescribing processes, medicines reconciliation and safe medicines use. Knowledge of pharmacy law, ethics, professional standards, confidentiality, information governance, safeguarding and safe handling of medicines. Understanding of the pharmacy technician’s professional accountability and limits of competence. Awareness of local formularies, NICE guidance, prescribing safety, high-risk </w:t>
            </w:r>
            <w:r w:rsidRPr="00E347C9">
              <w:rPr>
                <w:rFonts w:ascii="Arial" w:hAnsi="Arial" w:cs="Arial"/>
              </w:rPr>
              <w:lastRenderedPageBreak/>
              <w:t>medicines monitoring and escalation routes.</w:t>
            </w:r>
          </w:p>
        </w:tc>
        <w:tc>
          <w:tcPr>
            <w:tcW w:w="3359" w:type="dxa"/>
          </w:tcPr>
          <w:p w14:paraId="08649A91" w14:textId="242A0EE9" w:rsidR="00E347C9" w:rsidRPr="00E347C9" w:rsidRDefault="00E347C9" w:rsidP="00E347C9">
            <w:pPr>
              <w:rPr>
                <w:rFonts w:ascii="Arial" w:hAnsi="Arial" w:cs="Arial"/>
              </w:rPr>
            </w:pPr>
            <w:r w:rsidRPr="00E347C9">
              <w:rPr>
                <w:rFonts w:ascii="Arial" w:hAnsi="Arial" w:cs="Arial"/>
              </w:rPr>
              <w:lastRenderedPageBreak/>
              <w:t>Understanding of primary care structures, GP practice workflow, PCNs, local commissioning, QOF, enhanced services, prescribing budgets and quality improvement. Knowledge of care home medicines processes, shared care protocols, antimicrobial stewardship and local medicines optimisation schemes</w:t>
            </w:r>
          </w:p>
        </w:tc>
        <w:tc>
          <w:tcPr>
            <w:tcW w:w="1559" w:type="dxa"/>
          </w:tcPr>
          <w:p w14:paraId="31327F2D" w14:textId="6E6D53BC" w:rsidR="00E347C9" w:rsidRPr="00E347C9" w:rsidRDefault="00E347C9" w:rsidP="00E347C9">
            <w:pPr>
              <w:rPr>
                <w:rFonts w:ascii="Arial" w:hAnsi="Arial" w:cs="Arial"/>
              </w:rPr>
            </w:pPr>
            <w:r w:rsidRPr="00E347C9">
              <w:rPr>
                <w:rFonts w:ascii="Arial" w:hAnsi="Arial" w:cs="Arial"/>
              </w:rPr>
              <w:t>A, I</w:t>
            </w:r>
          </w:p>
        </w:tc>
      </w:tr>
      <w:tr w:rsidR="00E347C9" w:rsidRPr="00E347C9" w14:paraId="7A09F542" w14:textId="77777777" w:rsidTr="00E347C9">
        <w:tc>
          <w:tcPr>
            <w:tcW w:w="1879" w:type="dxa"/>
          </w:tcPr>
          <w:p w14:paraId="3E69ECCB" w14:textId="07283769" w:rsidR="00E347C9" w:rsidRPr="00E347C9" w:rsidRDefault="00E347C9" w:rsidP="00E347C9">
            <w:pPr>
              <w:rPr>
                <w:rFonts w:ascii="Arial" w:hAnsi="Arial" w:cs="Arial"/>
                <w:b/>
              </w:rPr>
            </w:pPr>
            <w:r w:rsidRPr="00E347C9">
              <w:rPr>
                <w:rFonts w:ascii="Arial" w:hAnsi="Arial" w:cs="Arial"/>
                <w:b/>
                <w:bCs/>
              </w:rPr>
              <w:t>Clinical and technical skills</w:t>
            </w:r>
          </w:p>
        </w:tc>
        <w:tc>
          <w:tcPr>
            <w:tcW w:w="3693" w:type="dxa"/>
          </w:tcPr>
          <w:p w14:paraId="6235BB42" w14:textId="77777777" w:rsidR="00E347C9" w:rsidRDefault="00E347C9" w:rsidP="00E347C9">
            <w:pPr>
              <w:rPr>
                <w:rFonts w:ascii="Arial" w:hAnsi="Arial" w:cs="Arial"/>
              </w:rPr>
            </w:pPr>
            <w:r w:rsidRPr="00E347C9">
              <w:rPr>
                <w:rFonts w:ascii="Arial" w:hAnsi="Arial" w:cs="Arial"/>
              </w:rPr>
              <w:t xml:space="preserve">Able to support patient-facing and patient-supporting medicines optimisation work within competence. </w:t>
            </w:r>
          </w:p>
          <w:p w14:paraId="21A13E3C" w14:textId="77777777" w:rsidR="00E347C9" w:rsidRDefault="00E347C9" w:rsidP="00E347C9">
            <w:pPr>
              <w:rPr>
                <w:rFonts w:ascii="Arial" w:hAnsi="Arial" w:cs="Arial"/>
              </w:rPr>
            </w:pPr>
            <w:r w:rsidRPr="00E347C9">
              <w:rPr>
                <w:rFonts w:ascii="Arial" w:hAnsi="Arial" w:cs="Arial"/>
              </w:rPr>
              <w:t xml:space="preserve">Able to support medication reviews through preparation, monitoring checks, medicines reconciliation and follow-up actions agreed with a pharmacist or GP. </w:t>
            </w:r>
          </w:p>
          <w:p w14:paraId="6030B7FF" w14:textId="77777777" w:rsidR="00E347C9" w:rsidRDefault="00E347C9" w:rsidP="00E347C9">
            <w:pPr>
              <w:rPr>
                <w:rFonts w:ascii="Arial" w:hAnsi="Arial" w:cs="Arial"/>
              </w:rPr>
            </w:pPr>
            <w:r w:rsidRPr="00E347C9">
              <w:rPr>
                <w:rFonts w:ascii="Arial" w:hAnsi="Arial" w:cs="Arial"/>
              </w:rPr>
              <w:t xml:space="preserve">Able to identify prescription queries, medicines safety issues and risks, and escalate appropriately. </w:t>
            </w:r>
          </w:p>
          <w:p w14:paraId="171BDC5C" w14:textId="77777777" w:rsidR="00E347C9" w:rsidRDefault="00E347C9" w:rsidP="00E347C9">
            <w:pPr>
              <w:rPr>
                <w:rFonts w:ascii="Arial" w:hAnsi="Arial" w:cs="Arial"/>
              </w:rPr>
            </w:pPr>
            <w:r w:rsidRPr="00E347C9">
              <w:rPr>
                <w:rFonts w:ascii="Arial" w:hAnsi="Arial" w:cs="Arial"/>
              </w:rPr>
              <w:t xml:space="preserve">Accurate, methodical and able to maintain high standards of documentation. </w:t>
            </w:r>
          </w:p>
          <w:p w14:paraId="00ADF227" w14:textId="480F8987" w:rsidR="00E347C9" w:rsidRPr="00E347C9" w:rsidRDefault="00E347C9" w:rsidP="00E347C9">
            <w:pPr>
              <w:rPr>
                <w:rFonts w:ascii="Arial" w:hAnsi="Arial" w:cs="Arial"/>
              </w:rPr>
            </w:pPr>
            <w:r w:rsidRPr="00E347C9">
              <w:rPr>
                <w:rFonts w:ascii="Arial" w:hAnsi="Arial" w:cs="Arial"/>
              </w:rPr>
              <w:t>Able to analyse prescribing or audit data and contribute to improvement work</w:t>
            </w:r>
          </w:p>
        </w:tc>
        <w:tc>
          <w:tcPr>
            <w:tcW w:w="3359" w:type="dxa"/>
          </w:tcPr>
          <w:p w14:paraId="2C2F83CF" w14:textId="5FED7D02" w:rsidR="00E347C9" w:rsidRPr="00E347C9" w:rsidRDefault="00E347C9" w:rsidP="00E347C9">
            <w:pPr>
              <w:rPr>
                <w:rFonts w:ascii="Arial" w:hAnsi="Arial" w:cs="Arial"/>
              </w:rPr>
            </w:pPr>
            <w:r w:rsidRPr="00E347C9">
              <w:rPr>
                <w:rFonts w:ascii="Arial" w:hAnsi="Arial" w:cs="Arial"/>
              </w:rPr>
              <w:t>Able to support inhaler technique checks, adherence conversations, lifestyle advice or public health interventions where trained and competent. Able to train or support reception/admin teams with prescription request processes. Able to contribute to SOP development, audit design and quality improvement projects.</w:t>
            </w:r>
          </w:p>
        </w:tc>
        <w:tc>
          <w:tcPr>
            <w:tcW w:w="1559" w:type="dxa"/>
            <w:vAlign w:val="center"/>
          </w:tcPr>
          <w:p w14:paraId="35E0542C" w14:textId="7ED5CEBB" w:rsidR="00E347C9" w:rsidRPr="00E347C9" w:rsidRDefault="00E347C9" w:rsidP="00E347C9">
            <w:pPr>
              <w:rPr>
                <w:rFonts w:ascii="Arial" w:hAnsi="Arial" w:cs="Arial"/>
              </w:rPr>
            </w:pPr>
            <w:r w:rsidRPr="00E347C9">
              <w:rPr>
                <w:rFonts w:ascii="Arial" w:hAnsi="Arial" w:cs="Arial"/>
              </w:rPr>
              <w:t>A, I, T</w:t>
            </w:r>
          </w:p>
        </w:tc>
      </w:tr>
      <w:tr w:rsidR="00E347C9" w:rsidRPr="00E347C9" w14:paraId="7AC1BDBC" w14:textId="77777777" w:rsidTr="00E347C9">
        <w:tc>
          <w:tcPr>
            <w:tcW w:w="1879" w:type="dxa"/>
          </w:tcPr>
          <w:p w14:paraId="2F6CBF4F" w14:textId="52F53018" w:rsidR="00E347C9" w:rsidRPr="00E347C9" w:rsidRDefault="00E347C9" w:rsidP="00E347C9">
            <w:pPr>
              <w:rPr>
                <w:rFonts w:ascii="Arial" w:hAnsi="Arial" w:cs="Arial"/>
                <w:b/>
              </w:rPr>
            </w:pPr>
            <w:r w:rsidRPr="00E347C9">
              <w:rPr>
                <w:rFonts w:ascii="Arial" w:hAnsi="Arial" w:cs="Arial"/>
                <w:b/>
                <w:bCs/>
              </w:rPr>
              <w:t>Communication and interpersonal skills</w:t>
            </w:r>
          </w:p>
        </w:tc>
        <w:tc>
          <w:tcPr>
            <w:tcW w:w="3693" w:type="dxa"/>
          </w:tcPr>
          <w:p w14:paraId="3B401FB6" w14:textId="77777777" w:rsidR="00E347C9" w:rsidRDefault="00E347C9" w:rsidP="00E347C9">
            <w:pPr>
              <w:rPr>
                <w:rFonts w:ascii="Arial" w:hAnsi="Arial" w:cs="Arial"/>
              </w:rPr>
            </w:pPr>
            <w:r w:rsidRPr="00E347C9">
              <w:rPr>
                <w:rFonts w:ascii="Arial" w:hAnsi="Arial" w:cs="Arial"/>
              </w:rPr>
              <w:t xml:space="preserve">Excellent verbal and written communication skills. </w:t>
            </w:r>
          </w:p>
          <w:p w14:paraId="6AB6E161" w14:textId="77777777" w:rsidR="00E347C9" w:rsidRDefault="00E347C9" w:rsidP="00E347C9">
            <w:pPr>
              <w:rPr>
                <w:rFonts w:ascii="Arial" w:hAnsi="Arial" w:cs="Arial"/>
              </w:rPr>
            </w:pPr>
            <w:r w:rsidRPr="00E347C9">
              <w:rPr>
                <w:rFonts w:ascii="Arial" w:hAnsi="Arial" w:cs="Arial"/>
              </w:rPr>
              <w:t xml:space="preserve">Able to explain medicines-related information clearly to patients, carers and colleagues, adapting style to the audience. </w:t>
            </w:r>
          </w:p>
          <w:p w14:paraId="36A9B46A" w14:textId="77777777" w:rsidR="00E347C9" w:rsidRDefault="00E347C9" w:rsidP="00E347C9">
            <w:pPr>
              <w:rPr>
                <w:rFonts w:ascii="Arial" w:hAnsi="Arial" w:cs="Arial"/>
              </w:rPr>
            </w:pPr>
            <w:r w:rsidRPr="00E347C9">
              <w:rPr>
                <w:rFonts w:ascii="Arial" w:hAnsi="Arial" w:cs="Arial"/>
              </w:rPr>
              <w:t xml:space="preserve">Able to handle sensitive or complex conversations professionally and empathetically. </w:t>
            </w:r>
          </w:p>
          <w:p w14:paraId="79F407EC" w14:textId="04F14326" w:rsidR="00E347C9" w:rsidRPr="00E347C9" w:rsidRDefault="00E347C9" w:rsidP="00E347C9">
            <w:pPr>
              <w:rPr>
                <w:rFonts w:ascii="Arial" w:hAnsi="Arial" w:cs="Arial"/>
              </w:rPr>
            </w:pPr>
            <w:r w:rsidRPr="00E347C9">
              <w:rPr>
                <w:rFonts w:ascii="Arial" w:hAnsi="Arial" w:cs="Arial"/>
              </w:rPr>
              <w:t>Able to work effectively as part of a multidisciplinary team, including GPs, pharmacists, nurses, reception/admin teams, community pharmacies, care homes and secondary care teams</w:t>
            </w:r>
          </w:p>
        </w:tc>
        <w:tc>
          <w:tcPr>
            <w:tcW w:w="3359" w:type="dxa"/>
          </w:tcPr>
          <w:p w14:paraId="21E0DADA" w14:textId="45E6C526" w:rsidR="00E347C9" w:rsidRPr="00E347C9" w:rsidRDefault="00E347C9" w:rsidP="00E347C9">
            <w:pPr>
              <w:rPr>
                <w:rFonts w:ascii="Arial" w:hAnsi="Arial" w:cs="Arial"/>
              </w:rPr>
            </w:pPr>
            <w:r w:rsidRPr="00E347C9">
              <w:rPr>
                <w:rFonts w:ascii="Arial" w:hAnsi="Arial" w:cs="Arial"/>
              </w:rPr>
              <w:t>Experience</w:t>
            </w:r>
            <w:r w:rsidRPr="00E347C9">
              <w:rPr>
                <w:rFonts w:ascii="Arial" w:hAnsi="Arial" w:cs="Arial"/>
              </w:rPr>
              <w:t xml:space="preserve"> </w:t>
            </w:r>
            <w:r w:rsidRPr="00E347C9">
              <w:rPr>
                <w:rFonts w:ascii="Arial" w:hAnsi="Arial" w:cs="Arial"/>
              </w:rPr>
              <w:t>delivering teaching, training, briefings or presentations to colleagues. Influencing and negotiation skills for improving medicines processes across practices or PCN sites</w:t>
            </w:r>
          </w:p>
        </w:tc>
        <w:tc>
          <w:tcPr>
            <w:tcW w:w="1559" w:type="dxa"/>
            <w:vAlign w:val="center"/>
          </w:tcPr>
          <w:p w14:paraId="4A38A93F" w14:textId="4BFB612E" w:rsidR="00E347C9" w:rsidRPr="00E347C9" w:rsidRDefault="00E347C9" w:rsidP="00E347C9">
            <w:pPr>
              <w:rPr>
                <w:rFonts w:ascii="Arial" w:hAnsi="Arial" w:cs="Arial"/>
              </w:rPr>
            </w:pPr>
            <w:r w:rsidRPr="00E347C9">
              <w:rPr>
                <w:rFonts w:ascii="Arial" w:hAnsi="Arial" w:cs="Arial"/>
              </w:rPr>
              <w:t>A, I, T, R</w:t>
            </w:r>
          </w:p>
        </w:tc>
      </w:tr>
      <w:tr w:rsidR="00E347C9" w:rsidRPr="00E347C9" w14:paraId="1DC085EB" w14:textId="77777777" w:rsidTr="00E347C9">
        <w:tc>
          <w:tcPr>
            <w:tcW w:w="1879" w:type="dxa"/>
          </w:tcPr>
          <w:p w14:paraId="26A37CED" w14:textId="00F268EC" w:rsidR="00E347C9" w:rsidRPr="00E347C9" w:rsidRDefault="00E347C9" w:rsidP="00E347C9">
            <w:pPr>
              <w:rPr>
                <w:rFonts w:ascii="Arial" w:hAnsi="Arial" w:cs="Arial"/>
                <w:b/>
              </w:rPr>
            </w:pPr>
            <w:r w:rsidRPr="00E347C9">
              <w:rPr>
                <w:rFonts w:ascii="Arial" w:hAnsi="Arial" w:cs="Arial"/>
                <w:b/>
                <w:bCs/>
              </w:rPr>
              <w:t>IT and digital skills</w:t>
            </w:r>
          </w:p>
        </w:tc>
        <w:tc>
          <w:tcPr>
            <w:tcW w:w="3693" w:type="dxa"/>
          </w:tcPr>
          <w:p w14:paraId="37F11AE3" w14:textId="77777777" w:rsidR="00E347C9" w:rsidRDefault="00E347C9" w:rsidP="00E347C9">
            <w:pPr>
              <w:rPr>
                <w:rFonts w:ascii="Arial" w:hAnsi="Arial" w:cs="Arial"/>
              </w:rPr>
            </w:pPr>
            <w:r w:rsidRPr="00E347C9">
              <w:rPr>
                <w:rFonts w:ascii="Arial" w:hAnsi="Arial" w:cs="Arial"/>
              </w:rPr>
              <w:t xml:space="preserve">Competent in Microsoft Office or equivalent, email, internet use and accurate electronic record keeping. Able to use clinical systems safely, maintain confidentiality and follow information governance requirements. </w:t>
            </w:r>
          </w:p>
          <w:p w14:paraId="68FC4F8F" w14:textId="277B1569" w:rsidR="00E347C9" w:rsidRPr="00E347C9" w:rsidRDefault="00E347C9" w:rsidP="00E347C9">
            <w:pPr>
              <w:rPr>
                <w:rFonts w:ascii="Arial" w:hAnsi="Arial" w:cs="Arial"/>
              </w:rPr>
            </w:pPr>
            <w:r w:rsidRPr="00E347C9">
              <w:rPr>
                <w:rFonts w:ascii="Arial" w:hAnsi="Arial" w:cs="Arial"/>
              </w:rPr>
              <w:t>Able to work with spreadsheets, reports or prescribing data at a level required for audits and medicines optimisation work.</w:t>
            </w:r>
          </w:p>
        </w:tc>
        <w:tc>
          <w:tcPr>
            <w:tcW w:w="3359" w:type="dxa"/>
          </w:tcPr>
          <w:p w14:paraId="32851B62" w14:textId="2BECA872" w:rsidR="00E347C9" w:rsidRPr="00E347C9" w:rsidRDefault="00E347C9" w:rsidP="00E347C9">
            <w:pPr>
              <w:rPr>
                <w:rFonts w:ascii="Arial" w:hAnsi="Arial" w:cs="Arial"/>
              </w:rPr>
            </w:pPr>
            <w:r w:rsidRPr="00E347C9">
              <w:rPr>
                <w:rFonts w:ascii="Arial" w:hAnsi="Arial" w:cs="Arial"/>
              </w:rPr>
              <w:t>Experience with EMIS, SystmOne, Vision, EPS/eRD, NHS mail, ePACT2, Eclipse, Ardens,Pinnacle/PharmOutcomes or other local digital medicines tools.</w:t>
            </w:r>
          </w:p>
        </w:tc>
        <w:tc>
          <w:tcPr>
            <w:tcW w:w="1559" w:type="dxa"/>
            <w:vAlign w:val="center"/>
          </w:tcPr>
          <w:p w14:paraId="377850CC" w14:textId="7893F631" w:rsidR="00E347C9" w:rsidRPr="00E347C9" w:rsidRDefault="00E347C9" w:rsidP="00E347C9">
            <w:pPr>
              <w:rPr>
                <w:rFonts w:ascii="Arial" w:hAnsi="Arial" w:cs="Arial"/>
              </w:rPr>
            </w:pPr>
            <w:r w:rsidRPr="00E347C9">
              <w:rPr>
                <w:rFonts w:ascii="Arial" w:hAnsi="Arial" w:cs="Arial"/>
              </w:rPr>
              <w:t>A, I, T</w:t>
            </w:r>
          </w:p>
        </w:tc>
      </w:tr>
      <w:tr w:rsidR="00E347C9" w:rsidRPr="00E347C9" w14:paraId="5DA28A54" w14:textId="77777777" w:rsidTr="00E347C9">
        <w:tc>
          <w:tcPr>
            <w:tcW w:w="1879" w:type="dxa"/>
          </w:tcPr>
          <w:p w14:paraId="4467920D" w14:textId="01796CC2" w:rsidR="00E347C9" w:rsidRPr="00E347C9" w:rsidRDefault="00E347C9" w:rsidP="00E347C9">
            <w:pPr>
              <w:rPr>
                <w:rFonts w:ascii="Arial" w:hAnsi="Arial" w:cs="Arial"/>
                <w:b/>
              </w:rPr>
            </w:pPr>
            <w:r w:rsidRPr="00E347C9">
              <w:rPr>
                <w:rFonts w:ascii="Arial" w:hAnsi="Arial" w:cs="Arial"/>
                <w:b/>
                <w:bCs/>
              </w:rPr>
              <w:t>Personal qualities</w:t>
            </w:r>
          </w:p>
        </w:tc>
        <w:tc>
          <w:tcPr>
            <w:tcW w:w="3693" w:type="dxa"/>
          </w:tcPr>
          <w:p w14:paraId="40AFA7BC" w14:textId="77777777" w:rsidR="00E347C9" w:rsidRDefault="00E347C9" w:rsidP="00E347C9">
            <w:pPr>
              <w:rPr>
                <w:rFonts w:ascii="Arial" w:hAnsi="Arial" w:cs="Arial"/>
              </w:rPr>
            </w:pPr>
            <w:r w:rsidRPr="00E347C9">
              <w:rPr>
                <w:rFonts w:ascii="Arial" w:hAnsi="Arial" w:cs="Arial"/>
              </w:rPr>
              <w:t xml:space="preserve">Patient-focused, professional and committed to safe care. </w:t>
            </w:r>
          </w:p>
          <w:p w14:paraId="21461B10" w14:textId="77777777" w:rsidR="00E347C9" w:rsidRDefault="00E347C9" w:rsidP="00E347C9">
            <w:pPr>
              <w:rPr>
                <w:rFonts w:ascii="Arial" w:hAnsi="Arial" w:cs="Arial"/>
              </w:rPr>
            </w:pPr>
            <w:r w:rsidRPr="00E347C9">
              <w:rPr>
                <w:rFonts w:ascii="Arial" w:hAnsi="Arial" w:cs="Arial"/>
              </w:rPr>
              <w:t xml:space="preserve">Accurate, organised and able to prioritise workload. </w:t>
            </w:r>
          </w:p>
          <w:p w14:paraId="3494ACEF" w14:textId="77777777" w:rsidR="00E347C9" w:rsidRDefault="00E347C9" w:rsidP="00E347C9">
            <w:pPr>
              <w:rPr>
                <w:rFonts w:ascii="Arial" w:hAnsi="Arial" w:cs="Arial"/>
              </w:rPr>
            </w:pPr>
            <w:r w:rsidRPr="00E347C9">
              <w:rPr>
                <w:rFonts w:ascii="Arial" w:hAnsi="Arial" w:cs="Arial"/>
              </w:rPr>
              <w:t xml:space="preserve">Able to work independently within scope and as part of a team. Demonstrates accountability, discretion, resilience and emotional intelligence. </w:t>
            </w:r>
          </w:p>
          <w:p w14:paraId="14AA5ABA" w14:textId="77777777" w:rsidR="00E347C9" w:rsidRDefault="00E347C9" w:rsidP="00E347C9">
            <w:pPr>
              <w:rPr>
                <w:rFonts w:ascii="Arial" w:hAnsi="Arial" w:cs="Arial"/>
              </w:rPr>
            </w:pPr>
            <w:r w:rsidRPr="00E347C9">
              <w:rPr>
                <w:rFonts w:ascii="Arial" w:hAnsi="Arial" w:cs="Arial"/>
              </w:rPr>
              <w:lastRenderedPageBreak/>
              <w:t xml:space="preserve">Flexible, proactive and willing to learn. </w:t>
            </w:r>
          </w:p>
          <w:p w14:paraId="545AC40E" w14:textId="46BB25EA" w:rsidR="00E347C9" w:rsidRPr="00E347C9" w:rsidRDefault="00E347C9" w:rsidP="00E347C9">
            <w:pPr>
              <w:rPr>
                <w:rFonts w:ascii="Arial" w:hAnsi="Arial" w:cs="Arial"/>
              </w:rPr>
            </w:pPr>
            <w:r w:rsidRPr="00E347C9">
              <w:rPr>
                <w:rFonts w:ascii="Arial" w:hAnsi="Arial" w:cs="Arial"/>
              </w:rPr>
              <w:t>Committed to equality, diversity, inclusion, confidentiality and respectful care.</w:t>
            </w:r>
          </w:p>
        </w:tc>
        <w:tc>
          <w:tcPr>
            <w:tcW w:w="3359" w:type="dxa"/>
          </w:tcPr>
          <w:p w14:paraId="392023EE" w14:textId="533BC365" w:rsidR="00E347C9" w:rsidRPr="00E347C9" w:rsidRDefault="00E347C9" w:rsidP="00E347C9">
            <w:pPr>
              <w:rPr>
                <w:rFonts w:ascii="Arial" w:hAnsi="Arial" w:cs="Arial"/>
              </w:rPr>
            </w:pPr>
            <w:r w:rsidRPr="00E347C9">
              <w:rPr>
                <w:rFonts w:ascii="Arial" w:hAnsi="Arial" w:cs="Arial"/>
              </w:rPr>
              <w:lastRenderedPageBreak/>
              <w:t>Experience supporting service change, new ways of working or cross-sector collaboration. Interest in developing an enhanced pharmacy technician role in primary care.</w:t>
            </w:r>
          </w:p>
        </w:tc>
        <w:tc>
          <w:tcPr>
            <w:tcW w:w="1559" w:type="dxa"/>
          </w:tcPr>
          <w:p w14:paraId="210F28F2" w14:textId="0A52C069" w:rsidR="00E347C9" w:rsidRPr="00E347C9" w:rsidRDefault="00E347C9" w:rsidP="00E347C9">
            <w:pPr>
              <w:rPr>
                <w:rFonts w:ascii="Arial" w:hAnsi="Arial" w:cs="Arial"/>
              </w:rPr>
            </w:pPr>
            <w:r w:rsidRPr="00E347C9">
              <w:rPr>
                <w:rFonts w:ascii="Arial" w:hAnsi="Arial" w:cs="Arial"/>
              </w:rPr>
              <w:t>A, I, R</w:t>
            </w:r>
          </w:p>
        </w:tc>
      </w:tr>
      <w:tr w:rsidR="00E347C9" w:rsidRPr="00E347C9" w14:paraId="1254DEA4" w14:textId="77777777" w:rsidTr="00E347C9">
        <w:tc>
          <w:tcPr>
            <w:tcW w:w="1879" w:type="dxa"/>
          </w:tcPr>
          <w:p w14:paraId="75EFA210" w14:textId="12667662" w:rsidR="00E347C9" w:rsidRPr="00E347C9" w:rsidRDefault="00E347C9" w:rsidP="00E347C9">
            <w:pPr>
              <w:rPr>
                <w:rFonts w:ascii="Arial" w:hAnsi="Arial" w:cs="Arial"/>
                <w:b/>
              </w:rPr>
            </w:pPr>
            <w:r w:rsidRPr="00E347C9">
              <w:rPr>
                <w:rFonts w:ascii="Arial" w:hAnsi="Arial" w:cs="Arial"/>
                <w:b/>
                <w:bCs/>
              </w:rPr>
              <w:t>Governance, safety and professional standards</w:t>
            </w:r>
          </w:p>
        </w:tc>
        <w:tc>
          <w:tcPr>
            <w:tcW w:w="3693" w:type="dxa"/>
            <w:vAlign w:val="center"/>
          </w:tcPr>
          <w:p w14:paraId="232CAAE5" w14:textId="77777777" w:rsidR="00E347C9" w:rsidRDefault="00E347C9" w:rsidP="00E347C9">
            <w:pPr>
              <w:rPr>
                <w:rFonts w:ascii="Arial" w:hAnsi="Arial" w:cs="Arial"/>
              </w:rPr>
            </w:pPr>
            <w:r w:rsidRPr="00E347C9">
              <w:rPr>
                <w:rFonts w:ascii="Arial" w:hAnsi="Arial" w:cs="Arial"/>
              </w:rPr>
              <w:t xml:space="preserve">Works within legal, ethical, professional and organisational policies. </w:t>
            </w:r>
          </w:p>
          <w:p w14:paraId="6690FB52" w14:textId="77777777" w:rsidR="00E347C9" w:rsidRDefault="00E347C9" w:rsidP="00E347C9">
            <w:pPr>
              <w:rPr>
                <w:rFonts w:ascii="Arial" w:hAnsi="Arial" w:cs="Arial"/>
              </w:rPr>
            </w:pPr>
            <w:r w:rsidRPr="00E347C9">
              <w:rPr>
                <w:rFonts w:ascii="Arial" w:hAnsi="Arial" w:cs="Arial"/>
              </w:rPr>
              <w:t xml:space="preserve">Understands safeguarding, infection prevention, health and safety, lone working, data protection and confidentiality requirements. </w:t>
            </w:r>
          </w:p>
          <w:p w14:paraId="089C0E20" w14:textId="77777777" w:rsidR="00E347C9" w:rsidRDefault="00E347C9" w:rsidP="00E347C9">
            <w:pPr>
              <w:rPr>
                <w:rFonts w:ascii="Arial" w:hAnsi="Arial" w:cs="Arial"/>
              </w:rPr>
            </w:pPr>
            <w:r w:rsidRPr="00E347C9">
              <w:rPr>
                <w:rFonts w:ascii="Arial" w:hAnsi="Arial" w:cs="Arial"/>
              </w:rPr>
              <w:t xml:space="preserve">Able to identify, report and help manage risk, incidents, errors and near misses. </w:t>
            </w:r>
          </w:p>
          <w:p w14:paraId="052931A2" w14:textId="63066D4D" w:rsidR="00E347C9" w:rsidRPr="00E347C9" w:rsidRDefault="00E347C9" w:rsidP="00E347C9">
            <w:pPr>
              <w:rPr>
                <w:rFonts w:ascii="Arial" w:hAnsi="Arial" w:cs="Arial"/>
              </w:rPr>
            </w:pPr>
            <w:r w:rsidRPr="00E347C9">
              <w:rPr>
                <w:rFonts w:ascii="Arial" w:hAnsi="Arial" w:cs="Arial"/>
              </w:rPr>
              <w:t>Maintains CPD and participates in supervision, appraisal and training.</w:t>
            </w:r>
          </w:p>
        </w:tc>
        <w:tc>
          <w:tcPr>
            <w:tcW w:w="3359" w:type="dxa"/>
          </w:tcPr>
          <w:p w14:paraId="1861C408" w14:textId="651F9F7B" w:rsidR="00E347C9" w:rsidRPr="00E347C9" w:rsidRDefault="00E347C9" w:rsidP="00E347C9">
            <w:pPr>
              <w:rPr>
                <w:rFonts w:ascii="Arial" w:hAnsi="Arial" w:cs="Arial"/>
              </w:rPr>
            </w:pPr>
            <w:r w:rsidRPr="00E347C9">
              <w:rPr>
                <w:rFonts w:ascii="Arial" w:hAnsi="Arial" w:cs="Arial"/>
              </w:rPr>
              <w:t>Experience of clinical governance, audit, incident reporting, significant event analysis, CQC preparation or local quality assurance processes.</w:t>
            </w:r>
          </w:p>
        </w:tc>
        <w:tc>
          <w:tcPr>
            <w:tcW w:w="1559" w:type="dxa"/>
          </w:tcPr>
          <w:p w14:paraId="79AA38E0" w14:textId="2219D35C" w:rsidR="00E347C9" w:rsidRPr="00E347C9" w:rsidRDefault="00E347C9" w:rsidP="00E347C9">
            <w:pPr>
              <w:rPr>
                <w:rFonts w:ascii="Arial" w:hAnsi="Arial" w:cs="Arial"/>
              </w:rPr>
            </w:pPr>
            <w:r w:rsidRPr="00E347C9">
              <w:rPr>
                <w:rFonts w:ascii="Arial" w:hAnsi="Arial" w:cs="Arial"/>
              </w:rPr>
              <w:t>A, I, R</w:t>
            </w:r>
          </w:p>
        </w:tc>
      </w:tr>
      <w:tr w:rsidR="00E347C9" w:rsidRPr="00E347C9" w14:paraId="4A2032ED" w14:textId="77777777" w:rsidTr="00E347C9">
        <w:tc>
          <w:tcPr>
            <w:tcW w:w="1879" w:type="dxa"/>
          </w:tcPr>
          <w:p w14:paraId="1EC1C857" w14:textId="4994F14E" w:rsidR="00E347C9" w:rsidRPr="00E347C9" w:rsidRDefault="00E347C9" w:rsidP="00E347C9">
            <w:pPr>
              <w:rPr>
                <w:rFonts w:ascii="Arial" w:hAnsi="Arial" w:cs="Arial"/>
                <w:b/>
              </w:rPr>
            </w:pPr>
            <w:r w:rsidRPr="00E347C9">
              <w:rPr>
                <w:rFonts w:ascii="Arial" w:hAnsi="Arial" w:cs="Arial"/>
                <w:b/>
                <w:bCs/>
              </w:rPr>
              <w:t>Other requirements</w:t>
            </w:r>
          </w:p>
        </w:tc>
        <w:tc>
          <w:tcPr>
            <w:tcW w:w="3693" w:type="dxa"/>
          </w:tcPr>
          <w:p w14:paraId="72AD28ED" w14:textId="77777777" w:rsidR="00E347C9" w:rsidRDefault="00E347C9" w:rsidP="00E347C9">
            <w:pPr>
              <w:rPr>
                <w:rFonts w:ascii="Arial" w:hAnsi="Arial" w:cs="Arial"/>
              </w:rPr>
            </w:pPr>
            <w:r w:rsidRPr="00E347C9">
              <w:rPr>
                <w:rFonts w:ascii="Arial" w:hAnsi="Arial" w:cs="Arial"/>
              </w:rPr>
              <w:t xml:space="preserve">Satisfactory DBS check where required for the role. </w:t>
            </w:r>
          </w:p>
          <w:p w14:paraId="6787BAD2" w14:textId="77777777" w:rsidR="00E347C9" w:rsidRDefault="00E347C9" w:rsidP="00E347C9">
            <w:pPr>
              <w:rPr>
                <w:rFonts w:ascii="Arial" w:hAnsi="Arial" w:cs="Arial"/>
              </w:rPr>
            </w:pPr>
            <w:r w:rsidRPr="00E347C9">
              <w:rPr>
                <w:rFonts w:ascii="Arial" w:hAnsi="Arial" w:cs="Arial"/>
              </w:rPr>
              <w:t xml:space="preserve">Occupational health clearance where required. </w:t>
            </w:r>
          </w:p>
          <w:p w14:paraId="568A65FF" w14:textId="77777777" w:rsidR="00E347C9" w:rsidRDefault="00E347C9" w:rsidP="00E347C9">
            <w:pPr>
              <w:rPr>
                <w:rFonts w:ascii="Arial" w:hAnsi="Arial" w:cs="Arial"/>
              </w:rPr>
            </w:pPr>
            <w:r w:rsidRPr="00E347C9">
              <w:rPr>
                <w:rFonts w:ascii="Arial" w:hAnsi="Arial" w:cs="Arial"/>
              </w:rPr>
              <w:t xml:space="preserve">Right to work in the UK. </w:t>
            </w:r>
          </w:p>
          <w:p w14:paraId="0F84C61C" w14:textId="77777777" w:rsidR="00E347C9" w:rsidRDefault="00E347C9" w:rsidP="00E347C9">
            <w:pPr>
              <w:rPr>
                <w:rFonts w:ascii="Arial" w:hAnsi="Arial" w:cs="Arial"/>
              </w:rPr>
            </w:pPr>
            <w:r w:rsidRPr="00E347C9">
              <w:rPr>
                <w:rFonts w:ascii="Arial" w:hAnsi="Arial" w:cs="Arial"/>
              </w:rPr>
              <w:t xml:space="preserve">Ability to travel between practice/PCN sites, care homes or community locations as required by the post. </w:t>
            </w:r>
          </w:p>
          <w:p w14:paraId="4A37CBEB" w14:textId="1677DDCD" w:rsidR="00E347C9" w:rsidRPr="00E347C9" w:rsidRDefault="00E347C9" w:rsidP="00E347C9">
            <w:pPr>
              <w:rPr>
                <w:rFonts w:ascii="Arial" w:hAnsi="Arial" w:cs="Arial"/>
              </w:rPr>
            </w:pPr>
            <w:r w:rsidRPr="00E347C9">
              <w:rPr>
                <w:rFonts w:ascii="Arial" w:hAnsi="Arial" w:cs="Arial"/>
              </w:rPr>
              <w:t>Flexibility to work across sites.</w:t>
            </w:r>
          </w:p>
          <w:p w14:paraId="0B2F7319" w14:textId="77777777" w:rsidR="00E347C9" w:rsidRPr="00E347C9" w:rsidRDefault="00E347C9" w:rsidP="00E347C9">
            <w:pPr>
              <w:pStyle w:val="ListParagraph"/>
              <w:rPr>
                <w:rFonts w:ascii="Arial" w:hAnsi="Arial" w:cs="Arial"/>
              </w:rPr>
            </w:pPr>
          </w:p>
        </w:tc>
        <w:tc>
          <w:tcPr>
            <w:tcW w:w="3359" w:type="dxa"/>
          </w:tcPr>
          <w:p w14:paraId="365F301E" w14:textId="77777777" w:rsidR="00E347C9" w:rsidRPr="00E347C9" w:rsidRDefault="00E347C9" w:rsidP="00E347C9">
            <w:pPr>
              <w:pStyle w:val="ListParagraph"/>
              <w:rPr>
                <w:rFonts w:ascii="Arial" w:hAnsi="Arial" w:cs="Arial"/>
              </w:rPr>
            </w:pPr>
          </w:p>
        </w:tc>
        <w:tc>
          <w:tcPr>
            <w:tcW w:w="1559" w:type="dxa"/>
          </w:tcPr>
          <w:p w14:paraId="7CC5C4EA" w14:textId="77777777" w:rsidR="00E347C9" w:rsidRPr="00E347C9" w:rsidRDefault="00E347C9" w:rsidP="00E347C9">
            <w:pPr>
              <w:rPr>
                <w:rFonts w:ascii="Arial" w:hAnsi="Arial" w:cs="Arial"/>
              </w:rPr>
            </w:pPr>
          </w:p>
        </w:tc>
      </w:tr>
    </w:tbl>
    <w:p w14:paraId="3FD7E341" w14:textId="77777777" w:rsidR="00E347C9" w:rsidRDefault="00E347C9" w:rsidP="0090524D">
      <w:pPr>
        <w:jc w:val="center"/>
        <w:rPr>
          <w:rFonts w:ascii="Arial" w:hAnsi="Arial" w:cs="Arial"/>
          <w:sz w:val="24"/>
          <w:szCs w:val="24"/>
        </w:rPr>
      </w:pPr>
    </w:p>
    <w:p w14:paraId="2C59AF60" w14:textId="77777777" w:rsidR="00E347C9" w:rsidRDefault="00E347C9" w:rsidP="0090524D">
      <w:pPr>
        <w:jc w:val="center"/>
        <w:rPr>
          <w:rFonts w:ascii="Arial" w:hAnsi="Arial" w:cs="Arial"/>
          <w:sz w:val="24"/>
          <w:szCs w:val="24"/>
        </w:rPr>
      </w:pPr>
    </w:p>
    <w:p w14:paraId="43806EDB" w14:textId="77777777" w:rsidR="00E347C9" w:rsidRPr="00E347C9" w:rsidRDefault="00E347C9" w:rsidP="00E347C9">
      <w:pPr>
        <w:rPr>
          <w:rFonts w:ascii="Arial" w:hAnsi="Arial" w:cs="Arial"/>
          <w:sz w:val="24"/>
          <w:szCs w:val="24"/>
        </w:rPr>
      </w:pPr>
    </w:p>
    <w:tbl>
      <w:tblPr>
        <w:tblW w:w="0" w:type="auto"/>
        <w:tblCellSpacing w:w="15" w:type="dxa"/>
        <w:tblCellMar>
          <w:left w:w="0" w:type="dxa"/>
          <w:right w:w="0" w:type="dxa"/>
        </w:tblCellMar>
        <w:tblLook w:val="04A0" w:firstRow="1" w:lastRow="0" w:firstColumn="1" w:lastColumn="0" w:noHBand="0" w:noVBand="1"/>
      </w:tblPr>
      <w:tblGrid>
        <w:gridCol w:w="81"/>
        <w:gridCol w:w="30"/>
        <w:gridCol w:w="30"/>
        <w:gridCol w:w="777"/>
        <w:gridCol w:w="777"/>
        <w:gridCol w:w="340"/>
        <w:gridCol w:w="6896"/>
        <w:gridCol w:w="95"/>
      </w:tblGrid>
      <w:tr w:rsidR="00E347C9" w:rsidRPr="00E347C9" w14:paraId="7F8529EC" w14:textId="77777777" w:rsidTr="00E347C9">
        <w:trPr>
          <w:gridAfter w:val="7"/>
          <w:wAfter w:w="8383" w:type="dxa"/>
          <w:tblHeader/>
          <w:tblCellSpacing w:w="15" w:type="dxa"/>
        </w:trPr>
        <w:tc>
          <w:tcPr>
            <w:tcW w:w="0" w:type="auto"/>
            <w:tcMar>
              <w:top w:w="15" w:type="dxa"/>
              <w:left w:w="15" w:type="dxa"/>
              <w:bottom w:w="15" w:type="dxa"/>
              <w:right w:w="15" w:type="dxa"/>
            </w:tcMar>
            <w:vAlign w:val="center"/>
          </w:tcPr>
          <w:p w14:paraId="24482A22" w14:textId="1E526D58" w:rsidR="00E347C9" w:rsidRPr="00E347C9" w:rsidRDefault="00E347C9" w:rsidP="00E347C9">
            <w:pPr>
              <w:rPr>
                <w:rFonts w:ascii="Arial" w:hAnsi="Arial" w:cs="Arial"/>
                <w:b/>
                <w:bCs/>
                <w:sz w:val="24"/>
                <w:szCs w:val="24"/>
              </w:rPr>
            </w:pPr>
          </w:p>
        </w:tc>
      </w:tr>
      <w:tr w:rsidR="00E347C9" w:rsidRPr="00E347C9" w14:paraId="6CE1C476" w14:textId="77777777" w:rsidTr="00E347C9">
        <w:trPr>
          <w:gridAfter w:val="2"/>
          <w:wAfter w:w="5969" w:type="dxa"/>
          <w:tblCellSpacing w:w="15" w:type="dxa"/>
        </w:trPr>
        <w:tc>
          <w:tcPr>
            <w:tcW w:w="0" w:type="auto"/>
            <w:gridSpan w:val="3"/>
            <w:tcMar>
              <w:top w:w="15" w:type="dxa"/>
              <w:left w:w="15" w:type="dxa"/>
              <w:bottom w:w="15" w:type="dxa"/>
              <w:right w:w="15" w:type="dxa"/>
            </w:tcMar>
            <w:vAlign w:val="center"/>
            <w:hideMark/>
          </w:tcPr>
          <w:p w14:paraId="2ED30967" w14:textId="3C9DC451" w:rsidR="00E347C9" w:rsidRPr="00E347C9" w:rsidRDefault="00E347C9" w:rsidP="00E347C9">
            <w:pPr>
              <w:rPr>
                <w:rFonts w:ascii="Arial" w:hAnsi="Arial" w:cs="Arial"/>
                <w:sz w:val="24"/>
                <w:szCs w:val="24"/>
              </w:rPr>
            </w:pPr>
          </w:p>
        </w:tc>
        <w:tc>
          <w:tcPr>
            <w:tcW w:w="1984" w:type="dxa"/>
            <w:gridSpan w:val="2"/>
            <w:tcMar>
              <w:top w:w="15" w:type="dxa"/>
              <w:left w:w="15" w:type="dxa"/>
              <w:bottom w:w="15" w:type="dxa"/>
              <w:right w:w="15" w:type="dxa"/>
            </w:tcMar>
            <w:vAlign w:val="center"/>
          </w:tcPr>
          <w:p w14:paraId="711C7CA5" w14:textId="7A816042" w:rsidR="00E347C9" w:rsidRPr="00E347C9" w:rsidRDefault="00E347C9" w:rsidP="00E347C9">
            <w:pPr>
              <w:rPr>
                <w:rFonts w:ascii="Arial" w:hAnsi="Arial" w:cs="Arial"/>
                <w:sz w:val="24"/>
                <w:szCs w:val="24"/>
              </w:rPr>
            </w:pPr>
          </w:p>
        </w:tc>
        <w:tc>
          <w:tcPr>
            <w:tcW w:w="310" w:type="dxa"/>
            <w:tcMar>
              <w:top w:w="15" w:type="dxa"/>
              <w:left w:w="15" w:type="dxa"/>
              <w:bottom w:w="15" w:type="dxa"/>
              <w:right w:w="15" w:type="dxa"/>
            </w:tcMar>
            <w:vAlign w:val="center"/>
            <w:hideMark/>
          </w:tcPr>
          <w:p w14:paraId="6CE6CA0A" w14:textId="7CF97757" w:rsidR="00E347C9" w:rsidRPr="00E347C9" w:rsidRDefault="00E347C9" w:rsidP="00E347C9">
            <w:pPr>
              <w:rPr>
                <w:rFonts w:ascii="Arial" w:hAnsi="Arial" w:cs="Arial"/>
                <w:sz w:val="24"/>
                <w:szCs w:val="24"/>
              </w:rPr>
            </w:pPr>
          </w:p>
        </w:tc>
      </w:tr>
      <w:tr w:rsidR="00E347C9" w:rsidRPr="00E347C9" w14:paraId="1A95BBCC" w14:textId="77777777" w:rsidTr="00E347C9">
        <w:trPr>
          <w:tblCellSpacing w:w="15" w:type="dxa"/>
        </w:trPr>
        <w:tc>
          <w:tcPr>
            <w:tcW w:w="0" w:type="auto"/>
            <w:gridSpan w:val="2"/>
            <w:tcMar>
              <w:top w:w="15" w:type="dxa"/>
              <w:left w:w="15" w:type="dxa"/>
              <w:bottom w:w="15" w:type="dxa"/>
              <w:right w:w="15" w:type="dxa"/>
            </w:tcMar>
            <w:vAlign w:val="center"/>
            <w:hideMark/>
          </w:tcPr>
          <w:p w14:paraId="66D64C71" w14:textId="11B11EBF" w:rsidR="00E347C9" w:rsidRPr="00E347C9" w:rsidRDefault="00E347C9" w:rsidP="00E347C9">
            <w:pPr>
              <w:rPr>
                <w:rFonts w:ascii="Arial" w:hAnsi="Arial" w:cs="Arial"/>
                <w:sz w:val="24"/>
                <w:szCs w:val="24"/>
              </w:rPr>
            </w:pPr>
          </w:p>
        </w:tc>
        <w:tc>
          <w:tcPr>
            <w:tcW w:w="0" w:type="auto"/>
            <w:gridSpan w:val="2"/>
            <w:tcMar>
              <w:top w:w="15" w:type="dxa"/>
              <w:left w:w="15" w:type="dxa"/>
              <w:bottom w:w="15" w:type="dxa"/>
              <w:right w:w="15" w:type="dxa"/>
            </w:tcMar>
            <w:vAlign w:val="center"/>
            <w:hideMark/>
          </w:tcPr>
          <w:p w14:paraId="463F7393" w14:textId="26C396A7" w:rsidR="00E347C9" w:rsidRPr="00E347C9" w:rsidRDefault="00E347C9" w:rsidP="00E347C9">
            <w:pPr>
              <w:rPr>
                <w:rFonts w:ascii="Arial" w:hAnsi="Arial" w:cs="Arial"/>
                <w:sz w:val="24"/>
                <w:szCs w:val="24"/>
              </w:rPr>
            </w:pPr>
            <w:r w:rsidRPr="00E347C9">
              <w:rPr>
                <w:rFonts w:ascii="Arial" w:hAnsi="Arial" w:cs="Arial"/>
                <w:sz w:val="24"/>
                <w:szCs w:val="24"/>
              </w:rPr>
              <w:t>.</w:t>
            </w:r>
          </w:p>
        </w:tc>
        <w:tc>
          <w:tcPr>
            <w:tcW w:w="7236" w:type="dxa"/>
            <w:gridSpan w:val="3"/>
            <w:tcMar>
              <w:top w:w="15" w:type="dxa"/>
              <w:left w:w="15" w:type="dxa"/>
              <w:bottom w:w="15" w:type="dxa"/>
              <w:right w:w="15" w:type="dxa"/>
            </w:tcMar>
            <w:vAlign w:val="center"/>
            <w:hideMark/>
          </w:tcPr>
          <w:p w14:paraId="0B41B728" w14:textId="38EC7795" w:rsidR="00E347C9" w:rsidRPr="00E347C9" w:rsidRDefault="00E347C9" w:rsidP="00E347C9">
            <w:pPr>
              <w:rPr>
                <w:rFonts w:ascii="Arial" w:hAnsi="Arial" w:cs="Arial"/>
                <w:sz w:val="24"/>
                <w:szCs w:val="24"/>
              </w:rPr>
            </w:pPr>
            <w:r w:rsidRPr="00E347C9">
              <w:rPr>
                <w:rFonts w:ascii="Arial" w:hAnsi="Arial" w:cs="Arial"/>
                <w:sz w:val="24"/>
                <w:szCs w:val="24"/>
              </w:rPr>
              <w:t>.</w:t>
            </w:r>
          </w:p>
        </w:tc>
        <w:tc>
          <w:tcPr>
            <w:tcW w:w="50" w:type="dxa"/>
            <w:tcMar>
              <w:top w:w="15" w:type="dxa"/>
              <w:left w:w="15" w:type="dxa"/>
              <w:bottom w:w="15" w:type="dxa"/>
              <w:right w:w="15" w:type="dxa"/>
            </w:tcMar>
            <w:vAlign w:val="center"/>
          </w:tcPr>
          <w:p w14:paraId="731C2A75" w14:textId="38B56603" w:rsidR="00E347C9" w:rsidRPr="00E347C9" w:rsidRDefault="00E347C9" w:rsidP="00E347C9">
            <w:pPr>
              <w:rPr>
                <w:rFonts w:ascii="Arial" w:hAnsi="Arial" w:cs="Arial"/>
                <w:sz w:val="24"/>
                <w:szCs w:val="24"/>
              </w:rPr>
            </w:pPr>
          </w:p>
        </w:tc>
      </w:tr>
      <w:tr w:rsidR="00E347C9" w:rsidRPr="00E347C9" w14:paraId="4F2A67B3" w14:textId="77777777" w:rsidTr="00E347C9">
        <w:trPr>
          <w:tblCellSpacing w:w="15" w:type="dxa"/>
        </w:trPr>
        <w:tc>
          <w:tcPr>
            <w:tcW w:w="0" w:type="auto"/>
            <w:gridSpan w:val="2"/>
            <w:tcMar>
              <w:top w:w="15" w:type="dxa"/>
              <w:left w:w="15" w:type="dxa"/>
              <w:bottom w:w="15" w:type="dxa"/>
              <w:right w:w="15" w:type="dxa"/>
            </w:tcMar>
            <w:vAlign w:val="center"/>
            <w:hideMark/>
          </w:tcPr>
          <w:p w14:paraId="5EA72597" w14:textId="7C69CA0E" w:rsidR="00E347C9" w:rsidRPr="00E347C9" w:rsidRDefault="00E347C9" w:rsidP="00E347C9">
            <w:pPr>
              <w:rPr>
                <w:rFonts w:ascii="Arial" w:hAnsi="Arial" w:cs="Arial"/>
                <w:sz w:val="24"/>
                <w:szCs w:val="24"/>
              </w:rPr>
            </w:pPr>
          </w:p>
        </w:tc>
        <w:tc>
          <w:tcPr>
            <w:tcW w:w="0" w:type="auto"/>
            <w:gridSpan w:val="2"/>
            <w:tcMar>
              <w:top w:w="15" w:type="dxa"/>
              <w:left w:w="15" w:type="dxa"/>
              <w:bottom w:w="15" w:type="dxa"/>
              <w:right w:w="15" w:type="dxa"/>
            </w:tcMar>
            <w:vAlign w:val="center"/>
            <w:hideMark/>
          </w:tcPr>
          <w:p w14:paraId="4D59EC4B" w14:textId="0CDA5405" w:rsidR="00E347C9" w:rsidRPr="00E347C9" w:rsidRDefault="00E347C9" w:rsidP="00E347C9">
            <w:pPr>
              <w:rPr>
                <w:rFonts w:ascii="Arial" w:hAnsi="Arial" w:cs="Arial"/>
                <w:sz w:val="24"/>
                <w:szCs w:val="24"/>
              </w:rPr>
            </w:pPr>
          </w:p>
        </w:tc>
        <w:tc>
          <w:tcPr>
            <w:tcW w:w="7236" w:type="dxa"/>
            <w:gridSpan w:val="3"/>
            <w:tcMar>
              <w:top w:w="15" w:type="dxa"/>
              <w:left w:w="15" w:type="dxa"/>
              <w:bottom w:w="15" w:type="dxa"/>
              <w:right w:w="15" w:type="dxa"/>
            </w:tcMar>
            <w:vAlign w:val="center"/>
            <w:hideMark/>
          </w:tcPr>
          <w:p w14:paraId="0DCADC4E" w14:textId="7522CDBD" w:rsidR="00E347C9" w:rsidRPr="00E347C9" w:rsidRDefault="00E347C9" w:rsidP="00E347C9">
            <w:pPr>
              <w:rPr>
                <w:rFonts w:ascii="Arial" w:hAnsi="Arial" w:cs="Arial"/>
                <w:sz w:val="24"/>
                <w:szCs w:val="24"/>
              </w:rPr>
            </w:pPr>
          </w:p>
        </w:tc>
        <w:tc>
          <w:tcPr>
            <w:tcW w:w="50" w:type="dxa"/>
            <w:tcMar>
              <w:top w:w="15" w:type="dxa"/>
              <w:left w:w="15" w:type="dxa"/>
              <w:bottom w:w="15" w:type="dxa"/>
              <w:right w:w="15" w:type="dxa"/>
            </w:tcMar>
            <w:vAlign w:val="center"/>
            <w:hideMark/>
          </w:tcPr>
          <w:p w14:paraId="3A7254C2" w14:textId="33882DD3" w:rsidR="00E347C9" w:rsidRPr="00E347C9" w:rsidRDefault="00E347C9" w:rsidP="00E347C9">
            <w:pPr>
              <w:rPr>
                <w:rFonts w:ascii="Arial" w:hAnsi="Arial" w:cs="Arial"/>
                <w:sz w:val="24"/>
                <w:szCs w:val="24"/>
              </w:rPr>
            </w:pPr>
          </w:p>
        </w:tc>
      </w:tr>
      <w:tr w:rsidR="00E347C9" w:rsidRPr="00E347C9" w14:paraId="343F5DC1" w14:textId="77777777" w:rsidTr="00E347C9">
        <w:trPr>
          <w:tblCellSpacing w:w="15" w:type="dxa"/>
        </w:trPr>
        <w:tc>
          <w:tcPr>
            <w:tcW w:w="0" w:type="auto"/>
            <w:gridSpan w:val="2"/>
            <w:tcMar>
              <w:top w:w="15" w:type="dxa"/>
              <w:left w:w="15" w:type="dxa"/>
              <w:bottom w:w="15" w:type="dxa"/>
              <w:right w:w="15" w:type="dxa"/>
            </w:tcMar>
            <w:vAlign w:val="center"/>
            <w:hideMark/>
          </w:tcPr>
          <w:p w14:paraId="28D913F9" w14:textId="354AD1FC" w:rsidR="00E347C9" w:rsidRPr="00E347C9" w:rsidRDefault="00E347C9" w:rsidP="00E347C9">
            <w:pPr>
              <w:rPr>
                <w:rFonts w:ascii="Arial" w:hAnsi="Arial" w:cs="Arial"/>
                <w:sz w:val="24"/>
                <w:szCs w:val="24"/>
              </w:rPr>
            </w:pPr>
          </w:p>
        </w:tc>
        <w:tc>
          <w:tcPr>
            <w:tcW w:w="0" w:type="auto"/>
            <w:gridSpan w:val="2"/>
            <w:tcMar>
              <w:top w:w="15" w:type="dxa"/>
              <w:left w:w="15" w:type="dxa"/>
              <w:bottom w:w="15" w:type="dxa"/>
              <w:right w:w="15" w:type="dxa"/>
            </w:tcMar>
            <w:vAlign w:val="center"/>
          </w:tcPr>
          <w:p w14:paraId="2ADFF80C" w14:textId="3F55DBD3" w:rsidR="00E347C9" w:rsidRPr="00E347C9" w:rsidRDefault="00E347C9" w:rsidP="00E347C9">
            <w:pPr>
              <w:rPr>
                <w:rFonts w:ascii="Arial" w:hAnsi="Arial" w:cs="Arial"/>
                <w:sz w:val="24"/>
                <w:szCs w:val="24"/>
              </w:rPr>
            </w:pPr>
          </w:p>
        </w:tc>
        <w:tc>
          <w:tcPr>
            <w:tcW w:w="7236" w:type="dxa"/>
            <w:gridSpan w:val="3"/>
            <w:tcMar>
              <w:top w:w="15" w:type="dxa"/>
              <w:left w:w="15" w:type="dxa"/>
              <w:bottom w:w="15" w:type="dxa"/>
              <w:right w:w="15" w:type="dxa"/>
            </w:tcMar>
            <w:vAlign w:val="center"/>
            <w:hideMark/>
          </w:tcPr>
          <w:p w14:paraId="6D3BADDD" w14:textId="592E6D30" w:rsidR="00E347C9" w:rsidRPr="00E347C9" w:rsidRDefault="00E347C9" w:rsidP="00E347C9">
            <w:pPr>
              <w:rPr>
                <w:rFonts w:ascii="Arial" w:hAnsi="Arial" w:cs="Arial"/>
                <w:sz w:val="24"/>
                <w:szCs w:val="24"/>
              </w:rPr>
            </w:pPr>
          </w:p>
        </w:tc>
        <w:tc>
          <w:tcPr>
            <w:tcW w:w="50" w:type="dxa"/>
            <w:tcMar>
              <w:top w:w="15" w:type="dxa"/>
              <w:left w:w="15" w:type="dxa"/>
              <w:bottom w:w="15" w:type="dxa"/>
              <w:right w:w="15" w:type="dxa"/>
            </w:tcMar>
            <w:vAlign w:val="center"/>
            <w:hideMark/>
          </w:tcPr>
          <w:p w14:paraId="2589D865" w14:textId="209F80B8" w:rsidR="00E347C9" w:rsidRPr="00E347C9" w:rsidRDefault="00E347C9" w:rsidP="00E347C9">
            <w:pPr>
              <w:rPr>
                <w:rFonts w:ascii="Arial" w:hAnsi="Arial" w:cs="Arial"/>
                <w:sz w:val="24"/>
                <w:szCs w:val="24"/>
              </w:rPr>
            </w:pPr>
          </w:p>
        </w:tc>
      </w:tr>
    </w:tbl>
    <w:p w14:paraId="1650AB26" w14:textId="77777777" w:rsidR="00E347C9" w:rsidRDefault="00E347C9" w:rsidP="00E347C9">
      <w:pPr>
        <w:rPr>
          <w:rFonts w:ascii="Arial" w:hAnsi="Arial" w:cs="Arial"/>
          <w:sz w:val="24"/>
          <w:szCs w:val="24"/>
        </w:rPr>
      </w:pPr>
    </w:p>
    <w:p w14:paraId="72D26F96" w14:textId="77777777" w:rsidR="00E347C9" w:rsidRDefault="00E347C9" w:rsidP="00E347C9">
      <w:pPr>
        <w:rPr>
          <w:rFonts w:ascii="Arial" w:hAnsi="Arial" w:cs="Arial"/>
          <w:sz w:val="24"/>
          <w:szCs w:val="24"/>
        </w:rPr>
      </w:pPr>
    </w:p>
    <w:p w14:paraId="0BD4FF8F" w14:textId="77777777" w:rsidR="00E347C9" w:rsidRDefault="00E347C9" w:rsidP="00E347C9">
      <w:pPr>
        <w:rPr>
          <w:rFonts w:ascii="Arial" w:hAnsi="Arial" w:cs="Arial"/>
          <w:sz w:val="24"/>
          <w:szCs w:val="24"/>
        </w:rPr>
      </w:pPr>
    </w:p>
    <w:p w14:paraId="552FE104" w14:textId="77777777" w:rsidR="00E347C9" w:rsidRDefault="00E347C9" w:rsidP="00E347C9">
      <w:pPr>
        <w:rPr>
          <w:rFonts w:ascii="Arial" w:hAnsi="Arial" w:cs="Arial"/>
          <w:sz w:val="24"/>
          <w:szCs w:val="24"/>
        </w:rPr>
      </w:pPr>
    </w:p>
    <w:p w14:paraId="09CCD2E5" w14:textId="77777777" w:rsidR="00E347C9" w:rsidRDefault="00E347C9" w:rsidP="00E347C9">
      <w:pPr>
        <w:rPr>
          <w:rFonts w:ascii="Arial" w:hAnsi="Arial" w:cs="Arial"/>
          <w:sz w:val="24"/>
          <w:szCs w:val="24"/>
        </w:rPr>
      </w:pPr>
    </w:p>
    <w:p w14:paraId="0CAAE7ED" w14:textId="77777777" w:rsidR="00E347C9" w:rsidRDefault="00E347C9" w:rsidP="00E347C9">
      <w:pPr>
        <w:rPr>
          <w:rFonts w:ascii="Arial" w:hAnsi="Arial" w:cs="Arial"/>
          <w:sz w:val="24"/>
          <w:szCs w:val="24"/>
        </w:rPr>
      </w:pPr>
    </w:p>
    <w:p w14:paraId="01ACB984" w14:textId="4CCD36E6" w:rsidR="00E347C9" w:rsidRPr="0090524D" w:rsidRDefault="00E347C9" w:rsidP="00E347C9">
      <w:pPr>
        <w:jc w:val="center"/>
        <w:rPr>
          <w:rFonts w:ascii="Arial" w:hAnsi="Arial" w:cs="Arial"/>
          <w:sz w:val="24"/>
          <w:szCs w:val="24"/>
        </w:rPr>
      </w:pPr>
      <w:r>
        <w:rPr>
          <w:rFonts w:ascii="Arial" w:hAnsi="Arial" w:cs="Arial"/>
          <w:sz w:val="24"/>
          <w:szCs w:val="24"/>
        </w:rPr>
        <w:t>Created June 2026</w:t>
      </w:r>
    </w:p>
    <w:sectPr w:rsidR="00E347C9" w:rsidRPr="0090524D" w:rsidSect="00E347C9">
      <w:pgSz w:w="11906" w:h="16838"/>
      <w:pgMar w:top="851"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243"/>
    <w:multiLevelType w:val="hybridMultilevel"/>
    <w:tmpl w:val="36EC7A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84F4A"/>
    <w:multiLevelType w:val="hybridMultilevel"/>
    <w:tmpl w:val="411AF6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1D729D"/>
    <w:multiLevelType w:val="hybridMultilevel"/>
    <w:tmpl w:val="763403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155998"/>
    <w:multiLevelType w:val="hybridMultilevel"/>
    <w:tmpl w:val="E6ACD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FB44CD"/>
    <w:multiLevelType w:val="hybridMultilevel"/>
    <w:tmpl w:val="299CCE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0643064">
    <w:abstractNumId w:val="3"/>
  </w:num>
  <w:num w:numId="2" w16cid:durableId="36126152">
    <w:abstractNumId w:val="2"/>
  </w:num>
  <w:num w:numId="3" w16cid:durableId="1353804538">
    <w:abstractNumId w:val="1"/>
  </w:num>
  <w:num w:numId="4" w16cid:durableId="1661495780">
    <w:abstractNumId w:val="0"/>
  </w:num>
  <w:num w:numId="5" w16cid:durableId="21454674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24D"/>
    <w:rsid w:val="000E6631"/>
    <w:rsid w:val="00146318"/>
    <w:rsid w:val="001F71D2"/>
    <w:rsid w:val="00335F6C"/>
    <w:rsid w:val="003D4477"/>
    <w:rsid w:val="00810241"/>
    <w:rsid w:val="0090524D"/>
    <w:rsid w:val="00B2749D"/>
    <w:rsid w:val="00B6382E"/>
    <w:rsid w:val="00E347C9"/>
    <w:rsid w:val="00EB1EB9"/>
    <w:rsid w:val="00FD5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CBC33"/>
  <w15:chartTrackingRefBased/>
  <w15:docId w15:val="{B0AE579A-5FBD-4DE8-B2E0-899E9AD59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5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5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919</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Sibthorp Penelope (Suffolk GPs)</dc:creator>
  <cp:keywords/>
  <dc:description/>
  <cp:lastModifiedBy>PRICE, Sandra (BARRACK LANE MEDICAL CENTRE)</cp:lastModifiedBy>
  <cp:revision>3</cp:revision>
  <dcterms:created xsi:type="dcterms:W3CDTF">2026-06-18T08:23:00Z</dcterms:created>
  <dcterms:modified xsi:type="dcterms:W3CDTF">2026-06-18T09:21:00Z</dcterms:modified>
</cp:coreProperties>
</file>